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color w:val="1A478A"/>
        </w:rPr>
        <w:t>FMCG Deal Intelligence Weekly</w:t>
      </w:r>
    </w:p>
    <w:p>
      <w:pPr>
        <w:jc w:val="center"/>
      </w:pPr>
      <w:r>
        <w:rPr>
          <w:color w:val="666666"/>
          <w:sz w:val="24"/>
        </w:rPr>
        <w:t>M&amp;A, Investments &amp; Strategic Moves in Consumer Goods</w:t>
      </w:r>
    </w:p>
    <w:p>
      <w:pPr>
        <w:jc w:val="center"/>
      </w:pPr>
      <w:r>
        <w:rPr>
          <w:color w:val="999999"/>
          <w:sz w:val="20"/>
        </w:rPr>
        <w:t>Report Date: April 15, 2026</w:t>
      </w:r>
    </w:p>
    <w:p/>
    <w:p>
      <w:pPr>
        <w:pStyle w:val="Heading1"/>
      </w:pPr>
      <w:r>
        <w:t>Executive Summary</w:t>
      </w:r>
    </w:p>
    <w:p>
      <w:r>
        <w:t>This week's FMCG deal intelligence report covers 3 significant transactions across the consumer goods sector. Deal activity includes 1 Divestiture, 2 M&amp;As. The most active region is . All deals have been verified against credible business news sources and scored for relevance to the FMCG sector.</w:t>
      </w:r>
    </w:p>
    <w:p>
      <w:pPr>
        <w:pStyle w:val="Heading1"/>
      </w:pPr>
      <w:r>
        <w:t>Top Deals at a Glance</w:t>
      </w:r>
    </w:p>
    <w:tbl>
      <w:tblPr>
        <w:tblStyle w:val="LightGrid-Accent1"/>
        <w:tblW w:type="auto" w:w="0"/>
        <w:jc w:val="center"/>
        <w:tblLook w:firstColumn="1" w:firstRow="1" w:lastColumn="0" w:lastRow="0" w:noHBand="0" w:noVBand="1" w:val="04A0"/>
      </w:tblPr>
      <w:tblGrid>
        <w:gridCol w:w="1881"/>
        <w:gridCol w:w="1881"/>
        <w:gridCol w:w="1881"/>
        <w:gridCol w:w="1881"/>
        <w:gridCol w:w="1881"/>
      </w:tblGrid>
      <w:tr>
        <w:tc>
          <w:tcPr>
            <w:tcW w:type="dxa" w:w="1881"/>
          </w:tcPr>
          <w:p>
            <w:r>
              <w:rPr>
                <w:b/>
                <w:sz w:val="18"/>
              </w:rPr>
              <w:t>Deal</w:t>
            </w:r>
          </w:p>
        </w:tc>
        <w:tc>
          <w:tcPr>
            <w:tcW w:type="dxa" w:w="1881"/>
          </w:tcPr>
          <w:p>
            <w:r>
              <w:rPr>
                <w:b/>
                <w:sz w:val="18"/>
              </w:rPr>
              <w:t>Type</w:t>
            </w:r>
          </w:p>
        </w:tc>
        <w:tc>
          <w:tcPr>
            <w:tcW w:type="dxa" w:w="1881"/>
          </w:tcPr>
          <w:p>
            <w:r>
              <w:rPr>
                <w:b/>
                <w:sz w:val="18"/>
              </w:rPr>
              <w:t>Value</w:t>
            </w:r>
          </w:p>
        </w:tc>
        <w:tc>
          <w:tcPr>
            <w:tcW w:type="dxa" w:w="1881"/>
          </w:tcPr>
          <w:p>
            <w:r>
              <w:rPr>
                <w:b/>
                <w:sz w:val="18"/>
              </w:rPr>
              <w:t>Region</w:t>
            </w:r>
          </w:p>
        </w:tc>
        <w:tc>
          <w:tcPr>
            <w:tcW w:type="dxa" w:w="1881"/>
          </w:tcPr>
          <w:p>
            <w:r>
              <w:rPr>
                <w:b/>
                <w:sz w:val="18"/>
              </w:rPr>
              <w:t>Score</w:t>
            </w:r>
          </w:p>
        </w:tc>
      </w:tr>
      <w:tr>
        <w:tc>
          <w:tcPr>
            <w:tcW w:type="dxa" w:w="1881"/>
          </w:tcPr>
          <w:p>
            <w:r>
              <w:rPr>
                <w:sz w:val="18"/>
              </w:rPr>
              <w:t>Unilever completes $44.8 billion deal to sell food</w:t>
            </w:r>
          </w:p>
        </w:tc>
        <w:tc>
          <w:tcPr>
            <w:tcW w:type="dxa" w:w="1881"/>
          </w:tcPr>
          <w:p>
            <w:r>
              <w:rPr>
                <w:sz w:val="18"/>
              </w:rPr>
              <w:t>Divestiture</w:t>
            </w:r>
          </w:p>
        </w:tc>
        <w:tc>
          <w:tcPr>
            <w:tcW w:type="dxa" w:w="1881"/>
          </w:tcPr>
          <w:p>
            <w:r>
              <w:rPr>
                <w:sz w:val="18"/>
              </w:rPr>
              <w:t>$44.8 billion</w:t>
            </w:r>
          </w:p>
        </w:tc>
        <w:tc>
          <w:tcPr>
            <w:tcW w:type="dxa" w:w="1881"/>
          </w:tcPr>
          <w:p>
            <w:r>
              <w:rPr>
                <w:sz w:val="18"/>
              </w:rPr>
            </w:r>
          </w:p>
        </w:tc>
        <w:tc>
          <w:tcPr>
            <w:tcW w:type="dxa" w:w="1881"/>
          </w:tcPr>
          <w:p>
            <w:r>
              <w:rPr>
                <w:sz w:val="18"/>
              </w:rPr>
              <w:t>83.6</w:t>
            </w:r>
          </w:p>
        </w:tc>
      </w:tr>
      <w:tr>
        <w:tc>
          <w:tcPr>
            <w:tcW w:type="dxa" w:w="1881"/>
          </w:tcPr>
          <w:p>
            <w:r>
              <w:rPr>
                <w:sz w:val="18"/>
              </w:rPr>
              <w:t>Varun Beverages → Twizza</w:t>
            </w:r>
          </w:p>
        </w:tc>
        <w:tc>
          <w:tcPr>
            <w:tcW w:type="dxa" w:w="1881"/>
          </w:tcPr>
          <w:p>
            <w:r>
              <w:rPr>
                <w:sz w:val="18"/>
              </w:rPr>
              <w:t>M&amp;A</w:t>
            </w:r>
          </w:p>
        </w:tc>
        <w:tc>
          <w:tcPr>
            <w:tcW w:type="dxa" w:w="1881"/>
          </w:tcPr>
          <w:p>
            <w:r>
              <w:rPr>
                <w:sz w:val="18"/>
              </w:rPr>
              <w:t>R2.1 billion</w:t>
            </w:r>
          </w:p>
        </w:tc>
        <w:tc>
          <w:tcPr>
            <w:tcW w:type="dxa" w:w="1881"/>
          </w:tcPr>
          <w:p>
            <w:r>
              <w:rPr>
                <w:sz w:val="18"/>
              </w:rPr>
            </w:r>
          </w:p>
        </w:tc>
        <w:tc>
          <w:tcPr>
            <w:tcW w:type="dxa" w:w="1881"/>
          </w:tcPr>
          <w:p>
            <w:r>
              <w:rPr>
                <w:sz w:val="18"/>
              </w:rPr>
              <w:t>74.8</w:t>
            </w:r>
          </w:p>
        </w:tc>
      </w:tr>
      <w:tr>
        <w:tc>
          <w:tcPr>
            <w:tcW w:type="dxa" w:w="1881"/>
          </w:tcPr>
          <w:p>
            <w:r>
              <w:rPr>
                <w:sz w:val="18"/>
              </w:rPr>
              <w:t>Mark Anthony Group → Finnish Long Drink</w:t>
            </w:r>
          </w:p>
        </w:tc>
        <w:tc>
          <w:tcPr>
            <w:tcW w:type="dxa" w:w="1881"/>
          </w:tcPr>
          <w:p>
            <w:r>
              <w:rPr>
                <w:sz w:val="18"/>
              </w:rPr>
              <w:t>M&amp;A</w:t>
            </w:r>
          </w:p>
        </w:tc>
        <w:tc>
          <w:tcPr>
            <w:tcW w:type="dxa" w:w="1881"/>
          </w:tcPr>
          <w:p>
            <w:r>
              <w:rPr>
                <w:sz w:val="18"/>
              </w:rPr>
            </w:r>
          </w:p>
        </w:tc>
        <w:tc>
          <w:tcPr>
            <w:tcW w:type="dxa" w:w="1881"/>
          </w:tcPr>
          <w:p>
            <w:r>
              <w:rPr>
                <w:sz w:val="18"/>
              </w:rPr>
            </w:r>
          </w:p>
        </w:tc>
        <w:tc>
          <w:tcPr>
            <w:tcW w:type="dxa" w:w="1881"/>
          </w:tcPr>
          <w:p>
            <w:r>
              <w:rPr>
                <w:sz w:val="18"/>
              </w:rPr>
              <w:t>73.0</w:t>
            </w:r>
          </w:p>
        </w:tc>
      </w:tr>
    </w:tbl>
    <w:p/>
    <w:p>
      <w:pPr>
        <w:pStyle w:val="Heading1"/>
      </w:pPr>
      <w:r>
        <w:t>Deal Details</w:t>
      </w:r>
    </w:p>
    <w:p>
      <w:pPr>
        <w:pStyle w:val="Heading2"/>
      </w:pPr>
      <w:r>
        <w:t>Mergers &amp; Acquisitions (2)</w:t>
      </w:r>
    </w:p>
    <w:p>
      <w:r>
        <w:rPr>
          <w:b/>
          <w:sz w:val="20"/>
        </w:rPr>
        <w:t>● Varun Beverages Completes R2.1 Billion Twizza Acquisition to Boost Africa Hospitality Supply - Entrepreneur India</w:t>
      </w:r>
    </w:p>
    <w:p>
      <w:r>
        <w:rPr>
          <w:color w:val="555555"/>
          <w:sz w:val="18"/>
        </w:rPr>
        <w:t xml:space="preserve">  Value: R2.1 billion | Buyer: Varun Beverages | Target: Twizza | Source: Entrepreneur India</w:t>
      </w:r>
    </w:p>
    <w:p>
      <w:r>
        <w:rPr>
          <w:sz w:val="18"/>
        </w:rPr>
        <w:t xml:space="preserve">  Varun Beverages Completes R2.1 Billion Twizza Acquisition to Boost Africa Hospitality Supply Entrepreneur India</w:t>
      </w:r>
    </w:p>
    <w:p>
      <w:r>
        <w:rPr>
          <w:i/>
          <w:color w:val="CC6600"/>
          <w:sz w:val="16"/>
        </w:rPr>
        <w:t xml:space="preserve">  ⚠ Note: Source credibility below threshold (Unknown)</w:t>
      </w:r>
    </w:p>
    <w:p>
      <w:r>
        <w:rPr>
          <w:b/>
          <w:sz w:val="20"/>
        </w:rPr>
        <w:t>● Mark Anthony Group to Expand RTD Presence With Finnish Long Acquisition - Consumer Goods Technology</w:t>
      </w:r>
    </w:p>
    <w:p>
      <w:r>
        <w:rPr>
          <w:color w:val="555555"/>
          <w:sz w:val="18"/>
        </w:rPr>
        <w:t xml:space="preserve">  Buyer: Mark Anthony Group | Target: Finnish Long Drink | Source: Consumer Goods Technology</w:t>
      </w:r>
    </w:p>
    <w:p>
      <w:r>
        <w:rPr>
          <w:sz w:val="18"/>
        </w:rPr>
        <w:t xml:space="preserve">  Mark Anthony Group to Expand RTD Presence With Finnish Long Acquisition Consumer Goods Technology</w:t>
      </w:r>
    </w:p>
    <w:p>
      <w:r>
        <w:rPr>
          <w:i/>
          <w:color w:val="CC6600"/>
          <w:sz w:val="16"/>
        </w:rPr>
        <w:t xml:space="preserve">  ⚠ Note: Source credibility below threshold (Unknown)</w:t>
      </w:r>
    </w:p>
    <w:p>
      <w:pPr>
        <w:pStyle w:val="Heading2"/>
      </w:pPr>
      <w:r>
        <w:t>Divestitures (1)</w:t>
      </w:r>
    </w:p>
    <w:p>
      <w:r>
        <w:rPr>
          <w:b/>
          <w:sz w:val="20"/>
        </w:rPr>
        <w:t>● Unilever completes $44.8 billion deal to sell food business amid hard pivot towards beauty - Cosmetics Business</w:t>
      </w:r>
    </w:p>
    <w:p>
      <w:r>
        <w:rPr>
          <w:color w:val="555555"/>
          <w:sz w:val="18"/>
        </w:rPr>
        <w:t xml:space="preserve">  Value: $44.8 billion | Target: Unilever food business | Source: Cosmetics Business</w:t>
      </w:r>
    </w:p>
    <w:p>
      <w:r>
        <w:rPr>
          <w:sz w:val="18"/>
        </w:rPr>
        <w:t xml:space="preserve">  Unilever completes $44.8 billion deal to sell food business amid hard pivot towards beauty Cosmetics Business</w:t>
      </w:r>
    </w:p>
    <w:p/>
    <w:p>
      <w:pPr>
        <w:pStyle w:val="Heading2"/>
      </w:pPr>
      <w:r>
        <w:t>Methodology &amp; Disclaimer</w:t>
      </w:r>
    </w:p>
    <w:p>
      <w:r>
        <w:rPr>
          <w:color w:val="999999"/>
          <w:sz w:val="16"/>
        </w:rPr>
        <w:t>This newsletter is generated by an automated FMCG Deal Intelligence Pipeline. Articles are sourced from publicly available RSS feeds and ranked using weighted keyword matching for FMCG sector relevance (food, beverage, personal care, household goods) and deal activity (M&amp;A, investments, joint ventures). Source credibility is assessed using a tiered rating system based on established journalistic reputation. Near-duplicate articles are detected using text similarity analysis and merged, retaining the most credible source. This report is for informational purposes only and does not constitute investment advice.</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